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72" w:rsidRPr="008D4172" w:rsidRDefault="008D4172" w:rsidP="008D4172">
      <w:pPr>
        <w:jc w:val="center"/>
        <w:rPr>
          <w:sz w:val="20"/>
          <w:szCs w:val="20"/>
        </w:rPr>
      </w:pPr>
      <w:r w:rsidRPr="008D4172">
        <w:rPr>
          <w:sz w:val="20"/>
          <w:szCs w:val="20"/>
        </w:rPr>
        <w:t>(To be printed in the letterhead of consumer)</w:t>
      </w:r>
    </w:p>
    <w:p w:rsidR="008D4172" w:rsidRPr="008D4172" w:rsidRDefault="008D4172" w:rsidP="008D4172">
      <w:pPr>
        <w:jc w:val="center"/>
        <w:rPr>
          <w:sz w:val="20"/>
          <w:szCs w:val="20"/>
        </w:rPr>
      </w:pPr>
    </w:p>
    <w:p w:rsidR="008D4172" w:rsidRPr="008D4172" w:rsidRDefault="008D4172" w:rsidP="008D4172">
      <w:pPr>
        <w:jc w:val="center"/>
        <w:rPr>
          <w:sz w:val="20"/>
          <w:szCs w:val="20"/>
        </w:rPr>
      </w:pPr>
      <w:r w:rsidRPr="008D4172">
        <w:rPr>
          <w:sz w:val="20"/>
          <w:szCs w:val="20"/>
        </w:rPr>
        <w:t>Specimen I</w:t>
      </w:r>
    </w:p>
    <w:p w:rsidR="008D4172" w:rsidRPr="008D4172" w:rsidRDefault="008D4172" w:rsidP="008D4172">
      <w:pPr>
        <w:jc w:val="center"/>
        <w:rPr>
          <w:sz w:val="20"/>
          <w:szCs w:val="20"/>
        </w:rPr>
      </w:pPr>
    </w:p>
    <w:p w:rsidR="008D4172" w:rsidRPr="008D4172" w:rsidRDefault="008D4172" w:rsidP="008D4172">
      <w:pPr>
        <w:rPr>
          <w:sz w:val="20"/>
          <w:szCs w:val="20"/>
        </w:rPr>
      </w:pPr>
      <w:r w:rsidRPr="008D4172">
        <w:rPr>
          <w:sz w:val="20"/>
          <w:szCs w:val="20"/>
        </w:rPr>
        <w:t>To</w:t>
      </w:r>
      <w:r w:rsidRPr="008D4172">
        <w:rPr>
          <w:sz w:val="20"/>
          <w:szCs w:val="20"/>
        </w:rPr>
        <w:tab/>
      </w:r>
      <w:r w:rsidRPr="008D4172">
        <w:rPr>
          <w:sz w:val="20"/>
          <w:szCs w:val="20"/>
        </w:rPr>
        <w:tab/>
      </w:r>
      <w:r w:rsidRPr="008D4172">
        <w:rPr>
          <w:sz w:val="20"/>
          <w:szCs w:val="20"/>
        </w:rPr>
        <w:tab/>
      </w:r>
      <w:r w:rsidRPr="008D4172">
        <w:rPr>
          <w:sz w:val="20"/>
          <w:szCs w:val="20"/>
        </w:rPr>
        <w:tab/>
      </w:r>
      <w:r w:rsidRPr="008D4172">
        <w:rPr>
          <w:sz w:val="20"/>
          <w:szCs w:val="20"/>
        </w:rPr>
        <w:tab/>
      </w:r>
      <w:r w:rsidRPr="008D4172">
        <w:rPr>
          <w:sz w:val="20"/>
          <w:szCs w:val="20"/>
        </w:rPr>
        <w:tab/>
      </w:r>
      <w:r w:rsidRPr="008D4172">
        <w:rPr>
          <w:sz w:val="20"/>
          <w:szCs w:val="20"/>
        </w:rPr>
        <w:tab/>
      </w:r>
      <w:r w:rsidRPr="008D4172">
        <w:rPr>
          <w:sz w:val="20"/>
          <w:szCs w:val="20"/>
        </w:rPr>
        <w:tab/>
      </w:r>
      <w:r w:rsidRPr="008D4172">
        <w:rPr>
          <w:sz w:val="20"/>
          <w:szCs w:val="20"/>
        </w:rPr>
        <w:tab/>
        <w:t xml:space="preserve">Date: </w:t>
      </w:r>
    </w:p>
    <w:p w:rsidR="008D4172" w:rsidRPr="008D4172" w:rsidRDefault="008D4172" w:rsidP="008D4172">
      <w:pPr>
        <w:rPr>
          <w:sz w:val="20"/>
          <w:szCs w:val="20"/>
        </w:rPr>
      </w:pPr>
      <w:r w:rsidRPr="008D4172">
        <w:rPr>
          <w:sz w:val="20"/>
          <w:szCs w:val="20"/>
        </w:rPr>
        <w:t>The Superintending Engineer,</w:t>
      </w:r>
    </w:p>
    <w:p w:rsidR="008D4172" w:rsidRPr="008D4172" w:rsidRDefault="008D4172" w:rsidP="008D4172">
      <w:pPr>
        <w:rPr>
          <w:sz w:val="20"/>
          <w:szCs w:val="20"/>
        </w:rPr>
      </w:pPr>
      <w:r w:rsidRPr="008D4172">
        <w:rPr>
          <w:sz w:val="20"/>
          <w:szCs w:val="20"/>
        </w:rPr>
        <w:t>TANGEDCO,</w:t>
      </w:r>
    </w:p>
    <w:p w:rsidR="008D4172" w:rsidRPr="008D4172" w:rsidRDefault="008D4172" w:rsidP="008D4172">
      <w:pPr>
        <w:rPr>
          <w:sz w:val="20"/>
          <w:szCs w:val="20"/>
        </w:rPr>
      </w:pPr>
      <w:r w:rsidRPr="008D4172">
        <w:rPr>
          <w:sz w:val="20"/>
          <w:szCs w:val="20"/>
        </w:rPr>
        <w:t>----------- Electricity Distribution Circle,</w:t>
      </w:r>
    </w:p>
    <w:p w:rsidR="008D4172" w:rsidRPr="008D4172" w:rsidRDefault="008D4172" w:rsidP="008D4172">
      <w:pPr>
        <w:rPr>
          <w:sz w:val="20"/>
          <w:szCs w:val="20"/>
        </w:rPr>
      </w:pPr>
      <w:proofErr w:type="gramStart"/>
      <w:r w:rsidRPr="008D4172">
        <w:rPr>
          <w:sz w:val="20"/>
          <w:szCs w:val="20"/>
        </w:rPr>
        <w:t>Station --------------.</w:t>
      </w:r>
      <w:proofErr w:type="gramEnd"/>
    </w:p>
    <w:p w:rsidR="008D4172" w:rsidRPr="008D4172" w:rsidRDefault="008D4172" w:rsidP="008D4172">
      <w:pPr>
        <w:rPr>
          <w:sz w:val="20"/>
          <w:szCs w:val="20"/>
        </w:rPr>
      </w:pPr>
    </w:p>
    <w:p w:rsidR="008D4172" w:rsidRPr="008D4172" w:rsidRDefault="008D4172" w:rsidP="008D4172">
      <w:pPr>
        <w:rPr>
          <w:sz w:val="20"/>
          <w:szCs w:val="20"/>
        </w:rPr>
      </w:pPr>
      <w:r w:rsidRPr="008D4172">
        <w:rPr>
          <w:sz w:val="20"/>
          <w:szCs w:val="20"/>
        </w:rPr>
        <w:t>Sir,</w:t>
      </w:r>
    </w:p>
    <w:p w:rsidR="008D4172" w:rsidRPr="008D4172" w:rsidRDefault="008D4172" w:rsidP="008D4172">
      <w:pPr>
        <w:rPr>
          <w:sz w:val="20"/>
          <w:szCs w:val="20"/>
        </w:rPr>
      </w:pPr>
    </w:p>
    <w:p w:rsidR="008D4172" w:rsidRPr="008D4172" w:rsidRDefault="008D4172" w:rsidP="008D4172">
      <w:pPr>
        <w:spacing w:line="240" w:lineRule="auto"/>
        <w:ind w:left="1440" w:hanging="720"/>
        <w:jc w:val="both"/>
        <w:rPr>
          <w:rFonts w:cs="Arial"/>
          <w:sz w:val="20"/>
          <w:szCs w:val="20"/>
        </w:rPr>
      </w:pPr>
      <w:r w:rsidRPr="008D4172">
        <w:rPr>
          <w:sz w:val="20"/>
          <w:szCs w:val="20"/>
        </w:rPr>
        <w:t>Sub:</w:t>
      </w:r>
      <w:r w:rsidRPr="008D4172">
        <w:rPr>
          <w:sz w:val="20"/>
          <w:szCs w:val="20"/>
        </w:rPr>
        <w:tab/>
      </w:r>
      <w:r w:rsidRPr="008D4172">
        <w:rPr>
          <w:rFonts w:cs="Arial"/>
          <w:sz w:val="20"/>
          <w:szCs w:val="20"/>
        </w:rPr>
        <w:t xml:space="preserve">Verification of Captive Norms from Consumer End-Instructions / Clarifications issued to all SEs by the CFC-Revenue-Objections filed on the grounds of locus </w:t>
      </w:r>
      <w:proofErr w:type="spellStart"/>
      <w:r w:rsidRPr="008D4172">
        <w:rPr>
          <w:rFonts w:cs="Arial"/>
          <w:sz w:val="20"/>
          <w:szCs w:val="20"/>
        </w:rPr>
        <w:t>standi</w:t>
      </w:r>
      <w:proofErr w:type="spellEnd"/>
      <w:r w:rsidRPr="008D4172">
        <w:rPr>
          <w:rFonts w:cs="Arial"/>
          <w:sz w:val="20"/>
          <w:szCs w:val="20"/>
        </w:rPr>
        <w:t xml:space="preserve">. </w:t>
      </w:r>
    </w:p>
    <w:p w:rsidR="008D4172" w:rsidRPr="008D4172" w:rsidRDefault="008D4172" w:rsidP="008D4172">
      <w:pPr>
        <w:spacing w:line="240" w:lineRule="auto"/>
        <w:ind w:left="1440" w:hanging="720"/>
        <w:jc w:val="both"/>
        <w:rPr>
          <w:rFonts w:cs="Arial"/>
          <w:sz w:val="20"/>
          <w:szCs w:val="20"/>
        </w:rPr>
      </w:pPr>
    </w:p>
    <w:p w:rsidR="008D4172" w:rsidRPr="008D4172" w:rsidRDefault="008D4172" w:rsidP="008D4172">
      <w:pPr>
        <w:spacing w:line="240" w:lineRule="auto"/>
        <w:ind w:left="1440" w:hanging="720"/>
        <w:jc w:val="both"/>
        <w:rPr>
          <w:rFonts w:cs="Arial"/>
          <w:sz w:val="20"/>
          <w:szCs w:val="20"/>
        </w:rPr>
      </w:pPr>
      <w:r w:rsidRPr="008D4172">
        <w:rPr>
          <w:rFonts w:cs="Arial"/>
          <w:sz w:val="20"/>
          <w:szCs w:val="20"/>
        </w:rPr>
        <w:t>Ref:</w:t>
      </w:r>
      <w:r w:rsidRPr="008D4172">
        <w:rPr>
          <w:rFonts w:cs="Arial"/>
          <w:sz w:val="20"/>
          <w:szCs w:val="20"/>
        </w:rPr>
        <w:tab/>
        <w:t xml:space="preserve">1. </w:t>
      </w:r>
      <w:proofErr w:type="gramStart"/>
      <w:r w:rsidRPr="008D4172">
        <w:rPr>
          <w:rFonts w:cs="Arial"/>
          <w:sz w:val="20"/>
          <w:szCs w:val="20"/>
        </w:rPr>
        <w:t>The</w:t>
      </w:r>
      <w:proofErr w:type="gramEnd"/>
      <w:r w:rsidRPr="008D4172">
        <w:rPr>
          <w:rFonts w:cs="Arial"/>
          <w:sz w:val="20"/>
          <w:szCs w:val="20"/>
        </w:rPr>
        <w:t xml:space="preserve"> Circular Memo No. CFC/FC/REV/AS.3/D.325/17 Dated </w:t>
      </w:r>
    </w:p>
    <w:p w:rsidR="008D4172" w:rsidRPr="008D4172" w:rsidRDefault="008D4172" w:rsidP="008D4172">
      <w:pPr>
        <w:spacing w:line="240" w:lineRule="auto"/>
        <w:ind w:left="720" w:firstLine="720"/>
        <w:jc w:val="both"/>
        <w:rPr>
          <w:rFonts w:cs="Arial"/>
          <w:sz w:val="20"/>
          <w:szCs w:val="20"/>
        </w:rPr>
      </w:pPr>
      <w:r w:rsidRPr="008D4172">
        <w:rPr>
          <w:rFonts w:cs="Arial"/>
          <w:sz w:val="20"/>
          <w:szCs w:val="20"/>
        </w:rPr>
        <w:t xml:space="preserve">    </w:t>
      </w:r>
      <w:proofErr w:type="gramStart"/>
      <w:r w:rsidRPr="008D4172">
        <w:rPr>
          <w:rFonts w:cs="Arial"/>
          <w:sz w:val="20"/>
          <w:szCs w:val="20"/>
        </w:rPr>
        <w:t>15.03.2017 of CFC-Revenue, Chennai.</w:t>
      </w:r>
      <w:proofErr w:type="gramEnd"/>
      <w:r w:rsidRPr="008D4172">
        <w:rPr>
          <w:rFonts w:cs="Arial"/>
          <w:sz w:val="20"/>
          <w:szCs w:val="20"/>
        </w:rPr>
        <w:t xml:space="preserve"> </w:t>
      </w:r>
    </w:p>
    <w:p w:rsidR="008D4172" w:rsidRPr="008D4172" w:rsidRDefault="008D4172" w:rsidP="008D4172">
      <w:pPr>
        <w:spacing w:line="240" w:lineRule="auto"/>
        <w:ind w:left="1440" w:hanging="720"/>
        <w:jc w:val="both"/>
        <w:rPr>
          <w:rFonts w:cs="Arial"/>
          <w:sz w:val="20"/>
          <w:szCs w:val="20"/>
        </w:rPr>
      </w:pPr>
      <w:r w:rsidRPr="008D4172">
        <w:rPr>
          <w:rFonts w:cs="Arial"/>
          <w:sz w:val="20"/>
          <w:szCs w:val="20"/>
        </w:rPr>
        <w:tab/>
        <w:t xml:space="preserve">2. The Memo No. CFC/ REV/FC/REV/AS.3/F.CGP/D.203/17 Dated </w:t>
      </w:r>
    </w:p>
    <w:p w:rsidR="008D4172" w:rsidRPr="008D4172" w:rsidRDefault="008D4172" w:rsidP="008D4172">
      <w:pPr>
        <w:spacing w:line="240" w:lineRule="auto"/>
        <w:ind w:left="1440"/>
        <w:jc w:val="both"/>
        <w:rPr>
          <w:rFonts w:cs="Arial"/>
          <w:sz w:val="20"/>
          <w:szCs w:val="20"/>
        </w:rPr>
      </w:pPr>
      <w:r w:rsidRPr="008D4172">
        <w:rPr>
          <w:rFonts w:cs="Arial"/>
          <w:sz w:val="20"/>
          <w:szCs w:val="20"/>
        </w:rPr>
        <w:t xml:space="preserve">    </w:t>
      </w:r>
      <w:proofErr w:type="gramStart"/>
      <w:r w:rsidRPr="008D4172">
        <w:rPr>
          <w:rFonts w:cs="Arial"/>
          <w:sz w:val="20"/>
          <w:szCs w:val="20"/>
        </w:rPr>
        <w:t>18.03.2017 of CFC-Revenue, Chennai.</w:t>
      </w:r>
      <w:proofErr w:type="gramEnd"/>
    </w:p>
    <w:p w:rsidR="008D4172" w:rsidRPr="008D4172" w:rsidRDefault="008D4172" w:rsidP="008D4172">
      <w:pPr>
        <w:spacing w:line="240" w:lineRule="auto"/>
        <w:ind w:left="1440" w:hanging="720"/>
        <w:jc w:val="both"/>
        <w:rPr>
          <w:rFonts w:cs="Arial"/>
          <w:sz w:val="20"/>
          <w:szCs w:val="20"/>
        </w:rPr>
      </w:pPr>
      <w:r w:rsidRPr="008D4172">
        <w:rPr>
          <w:rFonts w:cs="Arial"/>
          <w:sz w:val="20"/>
          <w:szCs w:val="20"/>
        </w:rPr>
        <w:tab/>
        <w:t>3. The Circular Memo No.CFC/REV/FC/REV/AS.3/F.CGP/D.329/17</w:t>
      </w:r>
    </w:p>
    <w:p w:rsidR="008D4172" w:rsidRPr="008D4172" w:rsidRDefault="008D4172" w:rsidP="008D4172">
      <w:pPr>
        <w:spacing w:line="240" w:lineRule="auto"/>
        <w:ind w:left="1440"/>
        <w:jc w:val="both"/>
        <w:rPr>
          <w:rFonts w:cs="Arial"/>
          <w:sz w:val="20"/>
          <w:szCs w:val="20"/>
        </w:rPr>
      </w:pPr>
      <w:r w:rsidRPr="008D4172">
        <w:rPr>
          <w:rFonts w:cs="Arial"/>
          <w:sz w:val="20"/>
          <w:szCs w:val="20"/>
        </w:rPr>
        <w:t xml:space="preserve">    </w:t>
      </w:r>
      <w:proofErr w:type="gramStart"/>
      <w:r w:rsidRPr="008D4172">
        <w:rPr>
          <w:rFonts w:cs="Arial"/>
          <w:sz w:val="20"/>
          <w:szCs w:val="20"/>
        </w:rPr>
        <w:t>Dated 30/31.03.2017 of CFC-Revenue, Chennai.</w:t>
      </w:r>
      <w:proofErr w:type="gramEnd"/>
    </w:p>
    <w:p w:rsidR="008D4172" w:rsidRPr="008D4172" w:rsidRDefault="008D4172" w:rsidP="008D4172">
      <w:pPr>
        <w:spacing w:line="240" w:lineRule="auto"/>
        <w:ind w:left="1440"/>
        <w:jc w:val="both"/>
        <w:rPr>
          <w:sz w:val="20"/>
          <w:szCs w:val="20"/>
        </w:rPr>
      </w:pPr>
      <w:r w:rsidRPr="008D4172">
        <w:rPr>
          <w:rFonts w:cs="Arial"/>
          <w:sz w:val="20"/>
          <w:szCs w:val="20"/>
        </w:rPr>
        <w:t>4. The</w:t>
      </w:r>
      <w:r w:rsidRPr="008D4172">
        <w:rPr>
          <w:sz w:val="20"/>
          <w:szCs w:val="20"/>
        </w:rPr>
        <w:t xml:space="preserve"> </w:t>
      </w:r>
      <w:proofErr w:type="spellStart"/>
      <w:r w:rsidRPr="008D4172">
        <w:rPr>
          <w:sz w:val="20"/>
          <w:szCs w:val="20"/>
        </w:rPr>
        <w:t>Lr.No.CFC</w:t>
      </w:r>
      <w:proofErr w:type="spellEnd"/>
      <w:r w:rsidRPr="008D4172">
        <w:rPr>
          <w:sz w:val="20"/>
          <w:szCs w:val="20"/>
        </w:rPr>
        <w:t xml:space="preserve">/REV/FC/REV/DFC/AO.4/F.CGP Status/D.259  </w:t>
      </w:r>
    </w:p>
    <w:p w:rsidR="008D4172" w:rsidRPr="008D4172" w:rsidRDefault="008D4172" w:rsidP="008D4172">
      <w:pPr>
        <w:spacing w:line="240" w:lineRule="auto"/>
        <w:ind w:left="1440"/>
        <w:jc w:val="both"/>
        <w:rPr>
          <w:sz w:val="20"/>
          <w:szCs w:val="20"/>
        </w:rPr>
      </w:pPr>
      <w:r w:rsidRPr="008D4172">
        <w:rPr>
          <w:sz w:val="20"/>
          <w:szCs w:val="20"/>
        </w:rPr>
        <w:t xml:space="preserve">    /2017 Dated 31.03.2017 </w:t>
      </w:r>
      <w:r w:rsidRPr="008D4172">
        <w:rPr>
          <w:rFonts w:cs="Arial"/>
          <w:sz w:val="20"/>
          <w:szCs w:val="20"/>
        </w:rPr>
        <w:t>of CFC-Revenue, Chennai</w:t>
      </w:r>
      <w:r w:rsidRPr="008D4172">
        <w:rPr>
          <w:sz w:val="20"/>
          <w:szCs w:val="20"/>
        </w:rPr>
        <w:t>.</w:t>
      </w:r>
    </w:p>
    <w:p w:rsidR="008D4172" w:rsidRPr="008D4172" w:rsidRDefault="008D4172" w:rsidP="008D4172">
      <w:pPr>
        <w:spacing w:line="240" w:lineRule="auto"/>
        <w:ind w:left="1440"/>
        <w:jc w:val="both"/>
        <w:rPr>
          <w:sz w:val="20"/>
          <w:szCs w:val="20"/>
        </w:rPr>
      </w:pPr>
      <w:r w:rsidRPr="008D4172">
        <w:rPr>
          <w:sz w:val="20"/>
          <w:szCs w:val="20"/>
        </w:rPr>
        <w:t>5. Your letter No</w:t>
      </w:r>
      <w:proofErr w:type="gramStart"/>
      <w:r w:rsidRPr="008D4172">
        <w:rPr>
          <w:sz w:val="20"/>
          <w:szCs w:val="20"/>
        </w:rPr>
        <w:t>.---------</w:t>
      </w:r>
      <w:proofErr w:type="gramEnd"/>
      <w:r w:rsidRPr="008D4172">
        <w:rPr>
          <w:sz w:val="20"/>
          <w:szCs w:val="20"/>
        </w:rPr>
        <w:t xml:space="preserve"> dated ----------. </w:t>
      </w:r>
    </w:p>
    <w:p w:rsidR="008D4172" w:rsidRPr="008D4172" w:rsidRDefault="008D4172" w:rsidP="008D4172">
      <w:pPr>
        <w:spacing w:line="240" w:lineRule="auto"/>
        <w:ind w:left="1440"/>
        <w:jc w:val="both"/>
        <w:rPr>
          <w:sz w:val="20"/>
          <w:szCs w:val="20"/>
        </w:rPr>
      </w:pPr>
      <w:r w:rsidRPr="008D4172">
        <w:rPr>
          <w:sz w:val="20"/>
          <w:szCs w:val="20"/>
        </w:rPr>
        <w:t xml:space="preserve">6. The objection filed before the CFC-Revenue on 10.04.2017 by TECA.   </w:t>
      </w:r>
    </w:p>
    <w:p w:rsidR="008D4172" w:rsidRPr="008D4172" w:rsidRDefault="008D4172" w:rsidP="008D4172">
      <w:pPr>
        <w:spacing w:line="240" w:lineRule="auto"/>
        <w:ind w:left="1440"/>
        <w:jc w:val="both"/>
        <w:rPr>
          <w:sz w:val="20"/>
          <w:szCs w:val="20"/>
        </w:rPr>
      </w:pPr>
      <w:r w:rsidRPr="008D4172">
        <w:rPr>
          <w:sz w:val="20"/>
          <w:szCs w:val="20"/>
        </w:rPr>
        <w:t xml:space="preserve">    </w:t>
      </w:r>
    </w:p>
    <w:p w:rsidR="008D4172" w:rsidRPr="008D4172" w:rsidRDefault="008D4172" w:rsidP="008D4172">
      <w:pPr>
        <w:spacing w:line="240" w:lineRule="auto"/>
        <w:ind w:left="1440" w:hanging="720"/>
        <w:jc w:val="center"/>
        <w:rPr>
          <w:rFonts w:cs="Arial"/>
          <w:sz w:val="20"/>
          <w:szCs w:val="20"/>
        </w:rPr>
      </w:pPr>
      <w:r w:rsidRPr="008D4172">
        <w:rPr>
          <w:rFonts w:cs="Arial"/>
          <w:sz w:val="20"/>
          <w:szCs w:val="20"/>
        </w:rPr>
        <w:t xml:space="preserve">***** </w:t>
      </w:r>
    </w:p>
    <w:p w:rsidR="008D4172" w:rsidRPr="008D4172" w:rsidRDefault="008D4172" w:rsidP="008D4172">
      <w:pPr>
        <w:spacing w:line="240" w:lineRule="auto"/>
        <w:ind w:left="1440" w:hanging="720"/>
        <w:jc w:val="center"/>
        <w:rPr>
          <w:rFonts w:cs="Arial"/>
          <w:sz w:val="20"/>
          <w:szCs w:val="20"/>
        </w:rPr>
      </w:pPr>
    </w:p>
    <w:p w:rsidR="008D4172" w:rsidRPr="008D4172" w:rsidRDefault="008D4172" w:rsidP="008D4172">
      <w:pPr>
        <w:numPr>
          <w:ilvl w:val="0"/>
          <w:numId w:val="1"/>
        </w:numPr>
        <w:spacing w:line="240" w:lineRule="auto"/>
        <w:jc w:val="both"/>
        <w:rPr>
          <w:rFonts w:cs="Arial"/>
          <w:sz w:val="20"/>
          <w:szCs w:val="20"/>
        </w:rPr>
      </w:pPr>
      <w:r w:rsidRPr="008D4172">
        <w:rPr>
          <w:rFonts w:cs="Arial"/>
          <w:sz w:val="20"/>
          <w:szCs w:val="20"/>
        </w:rPr>
        <w:t>We acknowledge the receipt of your letter 5</w:t>
      </w:r>
      <w:r w:rsidRPr="008D4172">
        <w:rPr>
          <w:rFonts w:cs="Arial"/>
          <w:sz w:val="20"/>
          <w:szCs w:val="20"/>
          <w:vertAlign w:val="superscript"/>
        </w:rPr>
        <w:t>th</w:t>
      </w:r>
      <w:r w:rsidRPr="008D4172">
        <w:rPr>
          <w:rFonts w:cs="Arial"/>
          <w:sz w:val="20"/>
          <w:szCs w:val="20"/>
        </w:rPr>
        <w:t xml:space="preserve"> cited above calling for records for the purpose of verification of CGP Status. In this connection, we wish to invite your kind attention to the letter of objection filed by our Association namely, </w:t>
      </w:r>
      <w:proofErr w:type="spellStart"/>
      <w:r w:rsidRPr="008D4172">
        <w:rPr>
          <w:rFonts w:cs="Arial"/>
          <w:sz w:val="20"/>
          <w:szCs w:val="20"/>
        </w:rPr>
        <w:t>Tamilnadu</w:t>
      </w:r>
      <w:proofErr w:type="spellEnd"/>
      <w:r w:rsidRPr="008D4172">
        <w:rPr>
          <w:rFonts w:cs="Arial"/>
          <w:sz w:val="20"/>
          <w:szCs w:val="20"/>
        </w:rPr>
        <w:t xml:space="preserve"> Electricity Consumers Association (TECA) on 10.04.2017 before the Chief Financial Controller-Revenue. We wish to further state that the work of verification of Captive Status of any Captive Generating Plant (CGP) is already a function of the State Regulatory Commission and accordingly, only the </w:t>
      </w:r>
      <w:proofErr w:type="spellStart"/>
      <w:r w:rsidRPr="008D4172">
        <w:rPr>
          <w:rFonts w:cs="Arial"/>
          <w:sz w:val="20"/>
          <w:szCs w:val="20"/>
        </w:rPr>
        <w:t>Hon'ble</w:t>
      </w:r>
      <w:proofErr w:type="spellEnd"/>
      <w:r w:rsidRPr="008D4172">
        <w:rPr>
          <w:rFonts w:cs="Arial"/>
          <w:sz w:val="20"/>
          <w:szCs w:val="20"/>
        </w:rPr>
        <w:t xml:space="preserve"> TNERC has the domain and authority to verify the concerned documents for the purpose of verifying and declaring the status of Captive Generating Plants in the State of </w:t>
      </w:r>
      <w:proofErr w:type="spellStart"/>
      <w:r w:rsidRPr="008D4172">
        <w:rPr>
          <w:rFonts w:cs="Arial"/>
          <w:sz w:val="20"/>
          <w:szCs w:val="20"/>
        </w:rPr>
        <w:t>Tamilnadu</w:t>
      </w:r>
      <w:proofErr w:type="spellEnd"/>
      <w:r w:rsidRPr="008D4172">
        <w:rPr>
          <w:rFonts w:cs="Arial"/>
          <w:sz w:val="20"/>
          <w:szCs w:val="20"/>
        </w:rPr>
        <w:t xml:space="preserve">. This has been fully explained in the objection letter filed by our Association quoting with relevant provisions of law and various case laws as decided by APTEL, New Delhi. </w:t>
      </w:r>
    </w:p>
    <w:p w:rsidR="008D4172" w:rsidRPr="008D4172" w:rsidRDefault="008D4172" w:rsidP="008D4172">
      <w:pPr>
        <w:spacing w:line="240" w:lineRule="auto"/>
        <w:ind w:left="1080"/>
        <w:jc w:val="both"/>
        <w:rPr>
          <w:rFonts w:cs="Arial"/>
          <w:sz w:val="20"/>
          <w:szCs w:val="20"/>
        </w:rPr>
      </w:pPr>
    </w:p>
    <w:p w:rsidR="008D4172" w:rsidRPr="008D4172" w:rsidRDefault="008D4172" w:rsidP="008D4172">
      <w:pPr>
        <w:numPr>
          <w:ilvl w:val="0"/>
          <w:numId w:val="1"/>
        </w:numPr>
        <w:spacing w:line="240" w:lineRule="auto"/>
        <w:jc w:val="both"/>
        <w:rPr>
          <w:rFonts w:cs="Arial"/>
          <w:sz w:val="20"/>
          <w:szCs w:val="20"/>
        </w:rPr>
      </w:pPr>
      <w:r w:rsidRPr="008D4172">
        <w:rPr>
          <w:rFonts w:cs="Arial"/>
          <w:sz w:val="20"/>
          <w:szCs w:val="20"/>
        </w:rPr>
        <w:t>Therefore, calling for documents as per your letter 5</w:t>
      </w:r>
      <w:r w:rsidRPr="008D4172">
        <w:rPr>
          <w:rFonts w:cs="Arial"/>
          <w:sz w:val="20"/>
          <w:szCs w:val="20"/>
          <w:vertAlign w:val="superscript"/>
        </w:rPr>
        <w:t>th</w:t>
      </w:r>
      <w:r w:rsidRPr="008D4172">
        <w:rPr>
          <w:rFonts w:cs="Arial"/>
          <w:sz w:val="20"/>
          <w:szCs w:val="20"/>
        </w:rPr>
        <w:t xml:space="preserve"> cited above, is without jurisdiction and hence, it lacks locus </w:t>
      </w:r>
      <w:proofErr w:type="spellStart"/>
      <w:r w:rsidRPr="008D4172">
        <w:rPr>
          <w:rFonts w:cs="Arial"/>
          <w:sz w:val="20"/>
          <w:szCs w:val="20"/>
        </w:rPr>
        <w:t>standi</w:t>
      </w:r>
      <w:proofErr w:type="spellEnd"/>
      <w:r w:rsidRPr="008D4172">
        <w:rPr>
          <w:rFonts w:cs="Arial"/>
          <w:sz w:val="20"/>
          <w:szCs w:val="20"/>
        </w:rPr>
        <w:t xml:space="preserve">. It is also learnt that the Generator from whom we received power through Group Captive Mode, is already in the process of filing the papers before the </w:t>
      </w:r>
      <w:proofErr w:type="spellStart"/>
      <w:r w:rsidRPr="008D4172">
        <w:rPr>
          <w:rFonts w:cs="Arial"/>
          <w:sz w:val="20"/>
          <w:szCs w:val="20"/>
        </w:rPr>
        <w:t>Hon'ble</w:t>
      </w:r>
      <w:proofErr w:type="spellEnd"/>
      <w:r w:rsidRPr="008D4172">
        <w:rPr>
          <w:rFonts w:cs="Arial"/>
          <w:sz w:val="20"/>
          <w:szCs w:val="20"/>
        </w:rPr>
        <w:t xml:space="preserve"> TNERC, to get the status of the CGP cleared suitably for the respective years. </w:t>
      </w:r>
    </w:p>
    <w:p w:rsidR="008D4172" w:rsidRPr="008D4172" w:rsidRDefault="008D4172" w:rsidP="008D4172">
      <w:pPr>
        <w:pStyle w:val="ListParagraph"/>
        <w:rPr>
          <w:rFonts w:ascii="Verdana" w:hAnsi="Verdana" w:cs="Arial"/>
          <w:sz w:val="20"/>
          <w:szCs w:val="20"/>
        </w:rPr>
      </w:pPr>
    </w:p>
    <w:p w:rsidR="008D4172" w:rsidRPr="008D4172" w:rsidRDefault="008D4172" w:rsidP="008D4172">
      <w:pPr>
        <w:numPr>
          <w:ilvl w:val="0"/>
          <w:numId w:val="1"/>
        </w:numPr>
        <w:spacing w:line="240" w:lineRule="auto"/>
        <w:jc w:val="both"/>
        <w:rPr>
          <w:rFonts w:cs="Arial"/>
          <w:sz w:val="20"/>
          <w:szCs w:val="20"/>
        </w:rPr>
      </w:pPr>
      <w:r w:rsidRPr="008D4172">
        <w:rPr>
          <w:rFonts w:cs="Arial"/>
          <w:sz w:val="20"/>
          <w:szCs w:val="20"/>
        </w:rPr>
        <w:t xml:space="preserve">As all the case laws as decided by APTEL, only allow the State Commissions alone, to verify and declare the Captive Status of CGPs, any attempt by other authorities to go for verification, would be an act of contempt and would be </w:t>
      </w:r>
      <w:r w:rsidRPr="008D4172">
        <w:rPr>
          <w:rFonts w:cs="Arial"/>
          <w:sz w:val="20"/>
          <w:szCs w:val="20"/>
        </w:rPr>
        <w:lastRenderedPageBreak/>
        <w:t xml:space="preserve">amounting to supersede the powers of State Commission in this regard. The case law, to the extent extracted below, supports only such a course of action. Hence, calling for records from consumers by TANGEDCO for the purpose of verification of CGP status, is not an authorized course. Please find the operative portion of the Judgement of APTEL in Appeal No. 136 of 2011, </w:t>
      </w:r>
      <w:proofErr w:type="gramStart"/>
      <w:r w:rsidRPr="008D4172">
        <w:rPr>
          <w:rFonts w:cs="Arial"/>
          <w:sz w:val="20"/>
          <w:szCs w:val="20"/>
        </w:rPr>
        <w:t>Dated</w:t>
      </w:r>
      <w:proofErr w:type="gramEnd"/>
      <w:r w:rsidRPr="008D4172">
        <w:rPr>
          <w:rFonts w:cs="Arial"/>
          <w:sz w:val="20"/>
          <w:szCs w:val="20"/>
        </w:rPr>
        <w:t xml:space="preserve"> 21.12.2012 in the case of M/s. JSW Steel Limited, </w:t>
      </w:r>
      <w:proofErr w:type="spellStart"/>
      <w:r w:rsidRPr="008D4172">
        <w:rPr>
          <w:rFonts w:cs="Arial"/>
          <w:sz w:val="20"/>
          <w:szCs w:val="20"/>
        </w:rPr>
        <w:t>Vijaynagar</w:t>
      </w:r>
      <w:proofErr w:type="spellEnd"/>
      <w:r w:rsidRPr="008D4172">
        <w:rPr>
          <w:rFonts w:cs="Arial"/>
          <w:sz w:val="20"/>
          <w:szCs w:val="20"/>
        </w:rPr>
        <w:t xml:space="preserve"> Works, Vs. Karnataka Electricity Regulatory Commission &amp; Ors.  </w:t>
      </w:r>
    </w:p>
    <w:p w:rsidR="008D4172" w:rsidRPr="008D4172" w:rsidRDefault="008D4172" w:rsidP="008D4172">
      <w:pPr>
        <w:pStyle w:val="ListParagraph"/>
        <w:spacing w:after="0" w:line="240" w:lineRule="auto"/>
        <w:jc w:val="both"/>
        <w:rPr>
          <w:rFonts w:ascii="Verdana" w:hAnsi="Verdana" w:cs="Arial"/>
          <w:sz w:val="20"/>
          <w:szCs w:val="20"/>
        </w:rPr>
      </w:pPr>
    </w:p>
    <w:p w:rsidR="008D4172" w:rsidRPr="008D4172" w:rsidRDefault="008D4172" w:rsidP="008D4172">
      <w:pPr>
        <w:pStyle w:val="bodyaft"/>
        <w:spacing w:before="0" w:beforeAutospacing="0" w:after="0" w:afterAutospacing="0"/>
        <w:ind w:left="2070"/>
        <w:rPr>
          <w:rFonts w:eastAsia="Calibri" w:cs="Arial"/>
          <w:i/>
          <w:sz w:val="20"/>
          <w:szCs w:val="20"/>
          <w:lang w:val="en-GB"/>
        </w:rPr>
      </w:pPr>
      <w:r w:rsidRPr="008D4172">
        <w:rPr>
          <w:rFonts w:eastAsia="Calibri" w:cs="Arial"/>
          <w:b/>
          <w:bCs/>
          <w:i/>
          <w:sz w:val="20"/>
          <w:szCs w:val="20"/>
          <w:u w:val="single"/>
          <w:lang w:val="en-GB"/>
        </w:rPr>
        <w:t xml:space="preserve">“Secondly, the question as to whether a certain generating plant can be termed as captive generating plant or not, does not fall for determination by the </w:t>
      </w:r>
      <w:proofErr w:type="gramStart"/>
      <w:r w:rsidRPr="008D4172">
        <w:rPr>
          <w:rFonts w:eastAsia="Calibri" w:cs="Arial"/>
          <w:b/>
          <w:bCs/>
          <w:i/>
          <w:sz w:val="20"/>
          <w:szCs w:val="20"/>
          <w:u w:val="single"/>
          <w:lang w:val="en-GB"/>
        </w:rPr>
        <w:t>Govt..</w:t>
      </w:r>
      <w:proofErr w:type="gramEnd"/>
      <w:r w:rsidRPr="008D4172">
        <w:rPr>
          <w:rFonts w:eastAsia="Calibri" w:cs="Arial"/>
          <w:b/>
          <w:bCs/>
          <w:i/>
          <w:sz w:val="20"/>
          <w:szCs w:val="20"/>
          <w:u w:val="single"/>
          <w:lang w:val="en-GB"/>
        </w:rPr>
        <w:t xml:space="preserve"> It is the Appropriate Commission that has the exclusive jurisdiction to decide the issue.</w:t>
      </w:r>
      <w:r w:rsidRPr="008D4172">
        <w:rPr>
          <w:rFonts w:eastAsia="Calibri" w:cs="Arial"/>
          <w:i/>
          <w:sz w:val="20"/>
          <w:szCs w:val="20"/>
          <w:lang w:val="en-GB"/>
        </w:rPr>
        <w:t xml:space="preserve"> The learned Commission has aptly referred to a decision of this Tribunal in "Chhattisgarh State Power Distribution Company Limited Vs. </w:t>
      </w:r>
      <w:proofErr w:type="spellStart"/>
      <w:r w:rsidRPr="008D4172">
        <w:rPr>
          <w:rFonts w:eastAsia="Calibri" w:cs="Arial"/>
          <w:i/>
          <w:sz w:val="20"/>
          <w:szCs w:val="20"/>
          <w:lang w:val="en-GB"/>
        </w:rPr>
        <w:t>Hira</w:t>
      </w:r>
      <w:proofErr w:type="spellEnd"/>
      <w:r w:rsidRPr="008D4172">
        <w:rPr>
          <w:rFonts w:eastAsia="Calibri" w:cs="Arial"/>
          <w:i/>
          <w:sz w:val="20"/>
          <w:szCs w:val="20"/>
          <w:lang w:val="en-GB"/>
        </w:rPr>
        <w:t xml:space="preserve"> Ferro Alloys (Appeal No. 116/2009)" which we also quote as follows:-</w:t>
      </w:r>
    </w:p>
    <w:p w:rsidR="008D4172" w:rsidRPr="008D4172" w:rsidRDefault="008D4172" w:rsidP="008D4172">
      <w:pPr>
        <w:pStyle w:val="bodyaft"/>
        <w:spacing w:before="0" w:beforeAutospacing="0" w:after="0" w:afterAutospacing="0"/>
        <w:ind w:left="2070"/>
        <w:rPr>
          <w:rFonts w:eastAsia="Calibri" w:cs="Arial"/>
          <w:i/>
          <w:sz w:val="20"/>
          <w:szCs w:val="20"/>
          <w:lang w:val="en-GB"/>
        </w:rPr>
      </w:pPr>
    </w:p>
    <w:p w:rsidR="008D4172" w:rsidRPr="008D4172" w:rsidRDefault="008D4172" w:rsidP="008D4172">
      <w:pPr>
        <w:pStyle w:val="bodyaft"/>
        <w:spacing w:before="0" w:beforeAutospacing="0" w:after="0" w:afterAutospacing="0"/>
        <w:ind w:left="2070"/>
        <w:rPr>
          <w:rFonts w:eastAsia="Calibri" w:cs="Arial"/>
          <w:i/>
          <w:sz w:val="20"/>
          <w:szCs w:val="20"/>
          <w:lang w:val="en-GB"/>
        </w:rPr>
      </w:pPr>
      <w:r w:rsidRPr="008D4172">
        <w:rPr>
          <w:rFonts w:eastAsia="Calibri" w:cs="Arial"/>
          <w:i/>
          <w:sz w:val="20"/>
          <w:szCs w:val="20"/>
          <w:lang w:val="en-GB"/>
        </w:rPr>
        <w:t>A generating Company which fulfils the special conditions prescribed in Section 2(8) read with Rule 3 above is categorized as captive power plant. Therefore, the captive generating plant will also be subject to the regulatory control of the State Commission inasmuch as a generating company. The proviso of Section 42(2) exempts a captive consumer from payment of cross subsidy surcharge. It is the State Commission which has the jurisdiction to determine whether the exemption provided under Section 42(2) can be accorded or not in the same manner as it is entrusted with the responsibility of determination of tariff and charges payable by the consumers in the State.</w:t>
      </w:r>
    </w:p>
    <w:p w:rsidR="008D4172" w:rsidRPr="008D4172" w:rsidRDefault="008D4172" w:rsidP="008D4172">
      <w:pPr>
        <w:pStyle w:val="bodyaft"/>
        <w:spacing w:before="0" w:beforeAutospacing="0" w:after="0" w:afterAutospacing="0"/>
        <w:ind w:left="2070"/>
        <w:rPr>
          <w:rFonts w:eastAsia="Calibri" w:cs="Arial"/>
          <w:i/>
          <w:sz w:val="20"/>
          <w:szCs w:val="20"/>
          <w:lang w:val="en-GB"/>
        </w:rPr>
      </w:pPr>
    </w:p>
    <w:p w:rsidR="008D4172" w:rsidRPr="008D4172" w:rsidRDefault="008D4172" w:rsidP="008D4172">
      <w:pPr>
        <w:pStyle w:val="NormalWeb"/>
        <w:spacing w:before="0" w:beforeAutospacing="0" w:after="0" w:afterAutospacing="0"/>
        <w:ind w:left="2070"/>
        <w:rPr>
          <w:rFonts w:eastAsia="Calibri" w:cs="Arial"/>
          <w:b/>
          <w:bCs/>
          <w:i/>
          <w:sz w:val="20"/>
          <w:szCs w:val="20"/>
          <w:u w:val="single"/>
          <w:lang w:val="en-GB"/>
        </w:rPr>
      </w:pPr>
      <w:r w:rsidRPr="008D4172">
        <w:rPr>
          <w:rFonts w:eastAsia="Calibri" w:cs="Arial"/>
          <w:b/>
          <w:bCs/>
          <w:i/>
          <w:sz w:val="20"/>
          <w:szCs w:val="20"/>
          <w:u w:val="single"/>
          <w:lang w:val="en-GB"/>
        </w:rPr>
        <w:t>Therefore, when the question has arisen as to whether the JSW Steel has or has not lost the status of a captive generating plant, it is the State Commission that has the only jurisdiction to decide the same.</w:t>
      </w:r>
    </w:p>
    <w:p w:rsidR="008D4172" w:rsidRPr="008D4172" w:rsidRDefault="008D4172" w:rsidP="008D4172">
      <w:pPr>
        <w:spacing w:line="240" w:lineRule="auto"/>
        <w:ind w:firstLine="720"/>
        <w:jc w:val="both"/>
        <w:rPr>
          <w:rFonts w:cs="Arial"/>
          <w:sz w:val="20"/>
          <w:szCs w:val="20"/>
        </w:rPr>
      </w:pPr>
      <w:r w:rsidRPr="008D4172">
        <w:rPr>
          <w:rFonts w:cs="Arial"/>
          <w:sz w:val="20"/>
          <w:szCs w:val="20"/>
        </w:rPr>
        <w:tab/>
      </w:r>
    </w:p>
    <w:p w:rsidR="008D4172" w:rsidRPr="008D4172" w:rsidRDefault="008D4172" w:rsidP="008D4172">
      <w:pPr>
        <w:pStyle w:val="Default"/>
        <w:ind w:left="1440" w:hanging="720"/>
        <w:rPr>
          <w:rFonts w:ascii="Verdana" w:hAnsi="Verdana"/>
          <w:sz w:val="20"/>
          <w:szCs w:val="20"/>
        </w:rPr>
      </w:pPr>
    </w:p>
    <w:p w:rsidR="008D4172" w:rsidRPr="008D4172" w:rsidRDefault="008D4172" w:rsidP="008D4172">
      <w:pPr>
        <w:numPr>
          <w:ilvl w:val="0"/>
          <w:numId w:val="1"/>
        </w:numPr>
        <w:jc w:val="both"/>
        <w:rPr>
          <w:sz w:val="20"/>
          <w:szCs w:val="20"/>
        </w:rPr>
      </w:pPr>
      <w:r w:rsidRPr="008D4172">
        <w:rPr>
          <w:sz w:val="20"/>
          <w:szCs w:val="20"/>
        </w:rPr>
        <w:t xml:space="preserve">In addition to the above case law, there </w:t>
      </w:r>
      <w:proofErr w:type="gramStart"/>
      <w:r w:rsidRPr="008D4172">
        <w:rPr>
          <w:sz w:val="20"/>
          <w:szCs w:val="20"/>
        </w:rPr>
        <w:t>are</w:t>
      </w:r>
      <w:proofErr w:type="gramEnd"/>
      <w:r w:rsidRPr="008D4172">
        <w:rPr>
          <w:sz w:val="20"/>
          <w:szCs w:val="20"/>
        </w:rPr>
        <w:t xml:space="preserve"> many other judgements support the same stand and declare that only the State Commission has the Jurisdiction to decide the matter of declaring the Captive Status of any CGP. </w:t>
      </w:r>
    </w:p>
    <w:p w:rsidR="008D4172" w:rsidRPr="008D4172" w:rsidRDefault="008D4172" w:rsidP="008D4172">
      <w:pPr>
        <w:ind w:left="1080"/>
        <w:jc w:val="both"/>
        <w:rPr>
          <w:sz w:val="20"/>
          <w:szCs w:val="20"/>
        </w:rPr>
      </w:pPr>
    </w:p>
    <w:p w:rsidR="008D4172" w:rsidRDefault="008D4172" w:rsidP="008D4172">
      <w:pPr>
        <w:numPr>
          <w:ilvl w:val="0"/>
          <w:numId w:val="1"/>
        </w:numPr>
        <w:jc w:val="both"/>
        <w:rPr>
          <w:sz w:val="20"/>
          <w:szCs w:val="20"/>
        </w:rPr>
      </w:pPr>
      <w:r w:rsidRPr="008D4172">
        <w:rPr>
          <w:sz w:val="20"/>
          <w:szCs w:val="20"/>
        </w:rPr>
        <w:t xml:space="preserve">In view of the same, we request that the right legal course can be understood as extracted above and accordingly, your request to submit the documents for the purpose of verification of captive status of CGP may please be withdrawn. </w:t>
      </w:r>
    </w:p>
    <w:p w:rsidR="008D4172" w:rsidRPr="008D4172" w:rsidRDefault="008D4172" w:rsidP="008D4172">
      <w:pPr>
        <w:ind w:left="1080"/>
        <w:jc w:val="both"/>
        <w:rPr>
          <w:sz w:val="20"/>
          <w:szCs w:val="20"/>
        </w:rPr>
      </w:pPr>
    </w:p>
    <w:p w:rsidR="008D4172" w:rsidRPr="008D4172" w:rsidRDefault="008D4172" w:rsidP="008D4172">
      <w:pPr>
        <w:numPr>
          <w:ilvl w:val="0"/>
          <w:numId w:val="1"/>
        </w:numPr>
        <w:jc w:val="both"/>
        <w:rPr>
          <w:sz w:val="20"/>
          <w:szCs w:val="20"/>
        </w:rPr>
      </w:pPr>
      <w:r w:rsidRPr="008D4172">
        <w:rPr>
          <w:sz w:val="20"/>
          <w:szCs w:val="20"/>
        </w:rPr>
        <w:t>In view of the above position of law, we are not filing the documents as called for through your letter 5</w:t>
      </w:r>
      <w:r w:rsidRPr="008D4172">
        <w:rPr>
          <w:sz w:val="20"/>
          <w:szCs w:val="20"/>
          <w:vertAlign w:val="superscript"/>
        </w:rPr>
        <w:t>th</w:t>
      </w:r>
      <w:r w:rsidRPr="008D4172">
        <w:rPr>
          <w:sz w:val="20"/>
          <w:szCs w:val="20"/>
        </w:rPr>
        <w:t xml:space="preserve"> cited above, due to the locus </w:t>
      </w:r>
      <w:proofErr w:type="spellStart"/>
      <w:r w:rsidRPr="008D4172">
        <w:rPr>
          <w:sz w:val="20"/>
          <w:szCs w:val="20"/>
        </w:rPr>
        <w:t>standi</w:t>
      </w:r>
      <w:proofErr w:type="spellEnd"/>
      <w:r w:rsidRPr="008D4172">
        <w:rPr>
          <w:sz w:val="20"/>
          <w:szCs w:val="20"/>
        </w:rPr>
        <w:t xml:space="preserve"> issues. Our </w:t>
      </w:r>
      <w:proofErr w:type="gramStart"/>
      <w:r w:rsidRPr="008D4172">
        <w:rPr>
          <w:sz w:val="20"/>
          <w:szCs w:val="20"/>
        </w:rPr>
        <w:t>Generator</w:t>
      </w:r>
      <w:proofErr w:type="gramEnd"/>
      <w:r w:rsidRPr="008D4172">
        <w:rPr>
          <w:sz w:val="20"/>
          <w:szCs w:val="20"/>
        </w:rPr>
        <w:t xml:space="preserve"> who is supplying power to us, is making suitable efforts to file the papers before the </w:t>
      </w:r>
      <w:proofErr w:type="spellStart"/>
      <w:r w:rsidRPr="008D4172">
        <w:rPr>
          <w:sz w:val="20"/>
          <w:szCs w:val="20"/>
        </w:rPr>
        <w:t>Hon'ble</w:t>
      </w:r>
      <w:proofErr w:type="spellEnd"/>
      <w:r w:rsidRPr="008D4172">
        <w:rPr>
          <w:sz w:val="20"/>
          <w:szCs w:val="20"/>
        </w:rPr>
        <w:t xml:space="preserve"> TNERC and make the status of the CGP cleared satisfactorily for the respective years in which the power supply was extended to us. </w:t>
      </w:r>
    </w:p>
    <w:p w:rsidR="008D4172" w:rsidRPr="008D4172" w:rsidRDefault="008D4172" w:rsidP="008D4172">
      <w:pPr>
        <w:pStyle w:val="ListParagraph"/>
        <w:rPr>
          <w:rFonts w:ascii="Verdana" w:hAnsi="Verdana"/>
          <w:sz w:val="20"/>
          <w:szCs w:val="20"/>
        </w:rPr>
      </w:pPr>
    </w:p>
    <w:p w:rsidR="008D4172" w:rsidRPr="008D4172" w:rsidRDefault="008D4172" w:rsidP="008D4172">
      <w:pPr>
        <w:numPr>
          <w:ilvl w:val="0"/>
          <w:numId w:val="1"/>
        </w:numPr>
        <w:jc w:val="both"/>
        <w:rPr>
          <w:sz w:val="20"/>
          <w:szCs w:val="20"/>
        </w:rPr>
      </w:pPr>
      <w:r w:rsidRPr="008D4172">
        <w:rPr>
          <w:sz w:val="20"/>
          <w:szCs w:val="20"/>
        </w:rPr>
        <w:t>Therefore, we request you kindly, not to act up on your letter 5</w:t>
      </w:r>
      <w:r w:rsidRPr="008D4172">
        <w:rPr>
          <w:sz w:val="20"/>
          <w:szCs w:val="20"/>
          <w:vertAlign w:val="superscript"/>
        </w:rPr>
        <w:t>th</w:t>
      </w:r>
      <w:r w:rsidRPr="008D4172">
        <w:rPr>
          <w:sz w:val="20"/>
          <w:szCs w:val="20"/>
        </w:rPr>
        <w:t xml:space="preserve"> cited above further and withdraw the letter totally and leave the entire matter for the disposal by the </w:t>
      </w:r>
      <w:proofErr w:type="spellStart"/>
      <w:r w:rsidRPr="008D4172">
        <w:rPr>
          <w:sz w:val="20"/>
          <w:szCs w:val="20"/>
        </w:rPr>
        <w:t>Hon'ble</w:t>
      </w:r>
      <w:proofErr w:type="spellEnd"/>
      <w:r w:rsidRPr="008D4172">
        <w:rPr>
          <w:sz w:val="20"/>
          <w:szCs w:val="20"/>
        </w:rPr>
        <w:t xml:space="preserve"> TNERC as per the legal course sanctified by the law as well as by the case laws declared by the APTEL, New Delhi. </w:t>
      </w:r>
    </w:p>
    <w:p w:rsidR="008D4172" w:rsidRPr="008D4172" w:rsidRDefault="008D4172" w:rsidP="008D4172">
      <w:pPr>
        <w:jc w:val="both"/>
        <w:rPr>
          <w:sz w:val="20"/>
          <w:szCs w:val="20"/>
        </w:rPr>
      </w:pPr>
    </w:p>
    <w:p w:rsidR="008D4172" w:rsidRPr="008D4172" w:rsidRDefault="008D4172" w:rsidP="008D4172">
      <w:pPr>
        <w:rPr>
          <w:sz w:val="20"/>
          <w:szCs w:val="20"/>
        </w:rPr>
      </w:pPr>
      <w:r w:rsidRPr="008D4172">
        <w:rPr>
          <w:sz w:val="20"/>
          <w:szCs w:val="20"/>
        </w:rPr>
        <w:t xml:space="preserve">Thanking You, </w:t>
      </w:r>
    </w:p>
    <w:p w:rsidR="008D4172" w:rsidRPr="008D4172" w:rsidRDefault="008D4172" w:rsidP="008D4172">
      <w:pPr>
        <w:jc w:val="right"/>
        <w:rPr>
          <w:sz w:val="20"/>
          <w:szCs w:val="20"/>
        </w:rPr>
      </w:pPr>
    </w:p>
    <w:p w:rsidR="008D4172" w:rsidRPr="008D4172" w:rsidRDefault="008D4172" w:rsidP="008D4172">
      <w:pPr>
        <w:jc w:val="right"/>
        <w:rPr>
          <w:sz w:val="20"/>
          <w:szCs w:val="20"/>
        </w:rPr>
      </w:pPr>
    </w:p>
    <w:p w:rsidR="008D4172" w:rsidRPr="008D4172" w:rsidRDefault="008D4172" w:rsidP="008D4172">
      <w:pPr>
        <w:rPr>
          <w:sz w:val="20"/>
          <w:szCs w:val="20"/>
        </w:rPr>
      </w:pPr>
      <w:r w:rsidRPr="008D4172">
        <w:rPr>
          <w:sz w:val="20"/>
          <w:szCs w:val="20"/>
        </w:rPr>
        <w:t xml:space="preserve">Yours Truly, </w:t>
      </w:r>
    </w:p>
    <w:p w:rsidR="008D4172" w:rsidRPr="008D4172" w:rsidRDefault="008D4172" w:rsidP="008D4172">
      <w:pPr>
        <w:rPr>
          <w:sz w:val="20"/>
          <w:szCs w:val="20"/>
        </w:rPr>
      </w:pPr>
    </w:p>
    <w:p w:rsidR="008D4172" w:rsidRPr="008D4172" w:rsidRDefault="008D4172" w:rsidP="008D4172">
      <w:pPr>
        <w:rPr>
          <w:sz w:val="20"/>
          <w:szCs w:val="20"/>
        </w:rPr>
      </w:pPr>
    </w:p>
    <w:p w:rsidR="008D4172" w:rsidRPr="008D4172" w:rsidRDefault="008D4172" w:rsidP="008D4172">
      <w:pPr>
        <w:rPr>
          <w:sz w:val="20"/>
          <w:szCs w:val="20"/>
        </w:rPr>
      </w:pPr>
    </w:p>
    <w:p w:rsidR="008D4172" w:rsidRPr="008D4172" w:rsidRDefault="008D4172" w:rsidP="008D4172">
      <w:pPr>
        <w:jc w:val="right"/>
        <w:rPr>
          <w:sz w:val="20"/>
          <w:szCs w:val="20"/>
        </w:rPr>
      </w:pPr>
    </w:p>
    <w:p w:rsidR="008D4172" w:rsidRPr="008D4172" w:rsidRDefault="008D4172" w:rsidP="008D4172">
      <w:pPr>
        <w:rPr>
          <w:sz w:val="20"/>
          <w:szCs w:val="20"/>
        </w:rPr>
      </w:pPr>
      <w:r w:rsidRPr="008D4172">
        <w:rPr>
          <w:sz w:val="20"/>
          <w:szCs w:val="20"/>
        </w:rPr>
        <w:t>Copy to: 1. TECA.</w:t>
      </w:r>
    </w:p>
    <w:p w:rsidR="008D4172" w:rsidRPr="008D4172" w:rsidRDefault="008D4172" w:rsidP="008D4172">
      <w:pPr>
        <w:rPr>
          <w:sz w:val="20"/>
          <w:szCs w:val="20"/>
        </w:rPr>
      </w:pPr>
      <w:r w:rsidRPr="008D4172">
        <w:rPr>
          <w:sz w:val="20"/>
          <w:szCs w:val="20"/>
        </w:rPr>
        <w:tab/>
        <w:t xml:space="preserve">    2. Generator.</w:t>
      </w:r>
    </w:p>
    <w:p w:rsidR="008D4172" w:rsidRPr="008D4172" w:rsidRDefault="008D4172" w:rsidP="008D4172">
      <w:pPr>
        <w:rPr>
          <w:sz w:val="20"/>
          <w:szCs w:val="20"/>
        </w:rPr>
      </w:pPr>
    </w:p>
    <w:p w:rsidR="00770893" w:rsidRPr="008D4172" w:rsidRDefault="00770893">
      <w:pPr>
        <w:rPr>
          <w:sz w:val="20"/>
          <w:szCs w:val="20"/>
        </w:rPr>
      </w:pPr>
    </w:p>
    <w:sectPr w:rsidR="00770893" w:rsidRPr="008D4172" w:rsidSect="007708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B6885"/>
    <w:multiLevelType w:val="hybridMultilevel"/>
    <w:tmpl w:val="EBC46E36"/>
    <w:lvl w:ilvl="0" w:tplc="F4889D18">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D4172"/>
    <w:rsid w:val="00770893"/>
    <w:rsid w:val="008D4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72"/>
    <w:pPr>
      <w:spacing w:after="0" w:line="259" w:lineRule="auto"/>
    </w:pPr>
    <w:rPr>
      <w:rFonts w:ascii="Verdana" w:eastAsia="Calibri" w:hAnsi="Verdana" w:cs="Lath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4172"/>
    <w:pPr>
      <w:autoSpaceDE w:val="0"/>
      <w:autoSpaceDN w:val="0"/>
      <w:adjustRightInd w:val="0"/>
      <w:spacing w:after="0" w:line="240" w:lineRule="auto"/>
    </w:pPr>
    <w:rPr>
      <w:rFonts w:ascii="Tahoma" w:eastAsia="Calibri" w:hAnsi="Tahoma" w:cs="Tahoma"/>
      <w:color w:val="000000"/>
      <w:sz w:val="24"/>
      <w:szCs w:val="24"/>
      <w:lang w:val="en-IN" w:eastAsia="en-IN" w:bidi="ta-IN"/>
    </w:rPr>
  </w:style>
  <w:style w:type="paragraph" w:styleId="ListParagraph">
    <w:name w:val="List Paragraph"/>
    <w:basedOn w:val="Normal"/>
    <w:uiPriority w:val="34"/>
    <w:qFormat/>
    <w:rsid w:val="008D4172"/>
    <w:pPr>
      <w:spacing w:after="200" w:line="276" w:lineRule="auto"/>
      <w:ind w:left="720"/>
      <w:contextualSpacing/>
    </w:pPr>
    <w:rPr>
      <w:rFonts w:ascii="Calibri" w:hAnsi="Calibri"/>
      <w:lang w:val="en-GB"/>
    </w:rPr>
  </w:style>
  <w:style w:type="paragraph" w:styleId="NormalWeb">
    <w:name w:val="Normal (Web)"/>
    <w:basedOn w:val="Normal"/>
    <w:rsid w:val="008D4172"/>
    <w:pPr>
      <w:spacing w:before="100" w:beforeAutospacing="1" w:after="100" w:afterAutospacing="1" w:line="240" w:lineRule="auto"/>
      <w:jc w:val="both"/>
    </w:pPr>
    <w:rPr>
      <w:rFonts w:eastAsia="Verdana" w:cs="Times New Roman"/>
      <w:sz w:val="18"/>
      <w:szCs w:val="18"/>
      <w:lang w:val="en-US"/>
    </w:rPr>
  </w:style>
  <w:style w:type="paragraph" w:customStyle="1" w:styleId="bodyaft">
    <w:name w:val="bodyaft"/>
    <w:basedOn w:val="Normal"/>
    <w:rsid w:val="008D4172"/>
    <w:pPr>
      <w:spacing w:before="100" w:beforeAutospacing="1" w:after="100" w:afterAutospacing="1" w:line="240" w:lineRule="auto"/>
      <w:jc w:val="both"/>
    </w:pPr>
    <w:rPr>
      <w:rFonts w:eastAsia="Verdana" w:cs="Times New Roman"/>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2017-04-11T10:52:00Z</dcterms:created>
  <dcterms:modified xsi:type="dcterms:W3CDTF">2017-04-11T10:53:00Z</dcterms:modified>
</cp:coreProperties>
</file>